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浙江省注册会计师协会</w:t>
      </w: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 w:eastAsia="宋体"/>
          <w:b/>
          <w:bCs/>
          <w:sz w:val="72"/>
          <w:szCs w:val="72"/>
          <w:lang w:eastAsia="zh-CN"/>
        </w:rPr>
      </w:pPr>
      <w:r>
        <w:rPr>
          <w:rFonts w:hint="eastAsia" w:ascii="宋体" w:hAnsi="宋体" w:eastAsia="宋体"/>
          <w:b/>
          <w:bCs/>
          <w:sz w:val="72"/>
          <w:szCs w:val="72"/>
          <w:lang w:eastAsia="zh-CN"/>
        </w:rPr>
        <w:t>金融专享服务方案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                                           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/>
          <w:b/>
          <w:bCs/>
        </w:rPr>
        <w:t xml:space="preserve">             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                               </w:t>
      </w: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中信银行</w:t>
      </w:r>
      <w:r>
        <w:rPr>
          <w:rFonts w:hint="eastAsia" w:ascii="宋体" w:hAnsi="宋体" w:eastAsia="宋体"/>
          <w:b/>
          <w:bCs/>
          <w:sz w:val="36"/>
          <w:szCs w:val="36"/>
        </w:rPr>
        <w:t>杭州分行</w:t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201</w:t>
      </w:r>
      <w:r>
        <w:rPr>
          <w:rFonts w:hint="eastAsia"/>
          <w:bCs/>
          <w:sz w:val="36"/>
          <w:szCs w:val="36"/>
          <w:lang w:val="en-US" w:eastAsia="zh-CN"/>
        </w:rPr>
        <w:t>8</w:t>
      </w:r>
      <w:r>
        <w:rPr>
          <w:rFonts w:hint="eastAsia"/>
          <w:bCs/>
          <w:sz w:val="36"/>
          <w:szCs w:val="36"/>
        </w:rPr>
        <w:t>年</w:t>
      </w:r>
      <w:r>
        <w:rPr>
          <w:rFonts w:hint="eastAsia"/>
          <w:bCs/>
          <w:sz w:val="36"/>
          <w:szCs w:val="36"/>
          <w:lang w:val="en-US" w:eastAsia="zh-CN"/>
        </w:rPr>
        <w:t>8</w:t>
      </w:r>
      <w:r>
        <w:rPr>
          <w:rFonts w:hint="eastAsia"/>
          <w:bCs/>
          <w:sz w:val="36"/>
          <w:szCs w:val="36"/>
        </w:rPr>
        <w:t>月</w:t>
      </w:r>
    </w:p>
    <w:p/>
    <w:p/>
    <w:p/>
    <w:p/>
    <w:p/>
    <w:p/>
    <w:p/>
    <w:p/>
    <w:p/>
    <w:p/>
    <w:tbl>
      <w:tblPr>
        <w:tblStyle w:val="3"/>
        <w:tblW w:w="8522" w:type="dxa"/>
        <w:tblInd w:w="0" w:type="dxa"/>
        <w:tblBorders>
          <w:top w:val="single" w:color="4472C4" w:sz="8" w:space="0"/>
          <w:left w:val="none" w:color="auto" w:sz="0" w:space="0"/>
          <w:bottom w:val="single" w:color="4472C4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4472C4" w:sz="18" w:space="0"/>
              <w:right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方正大标宋_GBK" w:eastAsia="方正大标宋_GBK"/>
                <w:color w:val="2F5496"/>
                <w:sz w:val="44"/>
                <w:szCs w:val="44"/>
              </w:rPr>
            </w:pPr>
            <w:r>
              <w:rPr>
                <w:rFonts w:hint="eastAsia" w:ascii="方正大标宋_GBK" w:eastAsia="方正大标宋_GBK"/>
                <w:b/>
                <w:bCs/>
                <w:color w:val="2F5496"/>
                <w:sz w:val="44"/>
                <w:szCs w:val="44"/>
              </w:rPr>
              <w:t>企业现金管理服务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4472C4" w:sz="18" w:space="0"/>
              <w:left w:val="nil"/>
              <w:bottom w:val="nil"/>
              <w:right w:val="nil"/>
            </w:tcBorders>
            <w:shd w:val="clear" w:color="auto" w:fill="D0DCF0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leftChars="0"/>
              <w:rPr>
                <w:rFonts w:ascii="华文中宋" w:hAnsi="华文中宋" w:eastAsia="华文中宋"/>
                <w:color w:val="2F5496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</w:rPr>
              <w:t>公司存款利率优惠。给予协会会员企业各期存款利率上浮优惠。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leftChars="0"/>
              <w:rPr>
                <w:rFonts w:ascii="华文中宋" w:hAnsi="华文中宋" w:eastAsia="华文中宋"/>
                <w:color w:val="2F5496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</w:rPr>
              <w:t>企业现金管理系统。系统功能强大、渠道健全，可实现账户信息管理、收付款管理、流动性管理、投资管理等。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shd w:val="clear" w:color="auto" w:fill="D0DCF0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leftChars="0"/>
              <w:rPr>
                <w:rFonts w:ascii="华文中宋" w:hAnsi="华文中宋" w:eastAsia="华文中宋"/>
                <w:color w:val="2F5496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</w:rPr>
              <w:t>账户信息管理。可实现账户信息通知、账户交易查询、电子对账。账户变动实时知晓，省去企业人工对账。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leftChars="0"/>
              <w:rPr>
                <w:rFonts w:ascii="华文中宋" w:hAnsi="华文中宋" w:eastAsia="华文中宋"/>
                <w:color w:val="2F5496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</w:rPr>
              <w:t>账户收付款管理。网上轻松实现结算付款、支付税费、支付公用收费、支付工资、财务报销、主动收款、加密付款等。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22" w:type="dxa"/>
            <w:tcBorders>
              <w:left w:val="nil"/>
              <w:right w:val="nil"/>
            </w:tcBorders>
            <w:shd w:val="clear" w:color="auto" w:fill="D0DCF0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leftChars="0"/>
              <w:rPr>
                <w:rFonts w:ascii="华文中宋" w:hAnsi="华文中宋" w:eastAsia="华文中宋"/>
                <w:color w:val="2F5496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</w:rPr>
              <w:t>资金流动性管理。可根据企业需要设置现金池功能，可实现资金集中管理、资金分配、内部资金计价等个性化功能，帮助企业实施精细化管理。</w:t>
            </w:r>
            <w:r>
              <w:rPr>
                <w:rFonts w:ascii="华文中宋" w:hAnsi="华文中宋" w:eastAsia="华文中宋"/>
                <w:bCs/>
                <w:color w:val="2F5496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leftChars="0"/>
              <w:rPr>
                <w:rFonts w:ascii="华文中宋" w:hAnsi="华文中宋" w:eastAsia="华文中宋"/>
                <w:color w:val="2F5496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</w:rPr>
              <w:t>企业授信法透。为企业加强现金流动性而提供的短期可循环外部融资服务，企业可在现金短缺时在银行授信额度内进行日间透支，之后在资金宽裕时归还。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22" w:type="dxa"/>
            <w:tcBorders>
              <w:left w:val="nil"/>
              <w:bottom w:val="nil"/>
              <w:right w:val="nil"/>
            </w:tcBorders>
            <w:shd w:val="clear" w:color="auto" w:fill="D0DCF0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leftChars="0"/>
              <w:rPr>
                <w:rFonts w:hint="eastAsia" w:ascii="华文中宋" w:hAnsi="华文中宋" w:eastAsia="华文中宋"/>
                <w:color w:val="2F5496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</w:rPr>
              <w:t>全方位、各层次理财服务。作为战略客户，提供最优化理财产品。中长期理财产品，期限灵活，收益稳健。定制化理财产品，可满足会员单位大额资金个性化的理财需求。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4BACC6" w:sz="18" w:space="0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leftChars="0"/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华文中宋" w:hAnsi="华文中宋" w:eastAsia="华文中宋"/>
                <w:bCs/>
                <w:color w:val="2F5496"/>
                <w:sz w:val="24"/>
                <w:szCs w:val="24"/>
              </w:rPr>
              <w:t>结算费用优惠。企业网银汇划手续费优惠，并根据各地方政策提供个性化优惠服务。</w:t>
            </w:r>
          </w:p>
        </w:tc>
      </w:tr>
    </w:tbl>
    <w:p/>
    <w:p/>
    <w:p/>
    <w:p/>
    <w:p/>
    <w:p/>
    <w:p/>
    <w:p/>
    <w:p/>
    <w:p/>
    <w:p/>
    <w:p/>
    <w:p/>
    <w:p/>
    <w:p/>
    <w:tbl>
      <w:tblPr>
        <w:tblStyle w:val="3"/>
        <w:tblW w:w="8522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7030A0" w:sz="18" w:space="0"/>
              <w:right w:val="nil"/>
            </w:tcBorders>
            <w:vAlign w:val="top"/>
          </w:tcPr>
          <w:p>
            <w:pPr>
              <w:snapToGrid w:val="0"/>
              <w:spacing w:before="0" w:beforeLines="0" w:after="0" w:afterLines="0" w:line="360" w:lineRule="auto"/>
              <w:jc w:val="center"/>
              <w:rPr>
                <w:rFonts w:hint="eastAsia" w:eastAsia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方正大标宋_GBK" w:eastAsia="方正大标宋_GBK"/>
                <w:b/>
                <w:bCs/>
                <w:color w:val="7030A0"/>
                <w:sz w:val="44"/>
                <w:szCs w:val="44"/>
                <w:lang w:eastAsia="zh-CN"/>
              </w:rPr>
              <w:t>个人融资服务方案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7030A0" w:sz="18" w:space="0"/>
              <w:left w:val="nil"/>
              <w:bottom w:val="nil"/>
              <w:right w:val="nil"/>
            </w:tcBorders>
            <w:shd w:val="clear" w:color="auto" w:fill="FEF2CC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rPr>
                <w:rFonts w:ascii="华文中宋" w:hAnsi="华文中宋" w:eastAsia="华文中宋"/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</w:rPr>
              <w:t>个人房产抵押综合授信。自有商品住房抵押，一次授信5年循环使用；单笔最长5年分期，减轻还贷压力；用途灵活，支用方便；创新还款方式：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eastAsia="zh-CN"/>
              </w:rPr>
              <w:t>自定义还款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rPr>
                <w:rFonts w:ascii="华文中宋" w:hAnsi="华文中宋" w:eastAsia="华文中宋"/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eastAsia="zh-CN"/>
              </w:rPr>
              <w:t>信秒贷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val="en-US" w:eastAsia="zh-CN"/>
              </w:rPr>
              <w:t>-代发工资客户专享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</w:rPr>
              <w:t>。我行代发工资客户，代发员工线上操作的个人网络信用消费贷款服务，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eastAsia="zh-CN"/>
              </w:rPr>
              <w:t>期限一年，额度最高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val="en-US" w:eastAsia="zh-CN"/>
              </w:rPr>
              <w:t>30万。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</w:rPr>
              <w:t>贷款申请、审批、放款3分钟在线完成，随借随还。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EF2CC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rPr>
                <w:rFonts w:ascii="华文中宋" w:hAnsi="华文中宋" w:eastAsia="华文中宋"/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eastAsia="zh-CN"/>
              </w:rPr>
              <w:t>信秒贷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val="en-US" w:eastAsia="zh-CN"/>
              </w:rPr>
              <w:t>-公积金客户专享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</w:rPr>
              <w:t>。针对公积金缴存客户开发的一款信用消费网贷产品，额度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</w:rPr>
              <w:t>为个人年缴存公积金的250倍，最高不超过30万，期限一年。贷款申请、审批、放款3分钟在线完成，随借随还、按月付息，到期还本。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522" w:type="dxa"/>
            <w:tcBorders>
              <w:top w:val="nil"/>
              <w:bottom w:val="single" w:color="7030A0" w:sz="18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rPr>
                <w:rFonts w:ascii="华文中宋" w:hAnsi="华文中宋" w:eastAsia="华文中宋"/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eastAsia="zh-CN"/>
              </w:rPr>
              <w:t>信秒贷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  <w:lang w:val="en-US" w:eastAsia="zh-CN"/>
              </w:rPr>
              <w:t>-有房客户专享</w:t>
            </w:r>
            <w:r>
              <w:rPr>
                <w:rFonts w:hint="eastAsia" w:ascii="华文中宋" w:hAnsi="华文中宋" w:eastAsia="华文中宋"/>
                <w:b w:val="0"/>
                <w:bCs/>
                <w:color w:val="7030A0"/>
                <w:sz w:val="24"/>
                <w:szCs w:val="24"/>
              </w:rPr>
              <w:t>。我行经授权在线获取客户房产、征信等数据信息，依托我行网络信贷业务平台系统对客户进行综合信用评价，向符合我行贷款条件客户在线发放的个人信用贷款。期限一年，额度最高30万。贷款申请、审批、放款3分钟在线完成，随借随还、按月付息，到期还本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ED7D31" w:sz="8" w:space="0"/>
          <w:left w:val="none" w:color="auto" w:sz="0" w:space="0"/>
          <w:bottom w:val="single" w:color="ED7D3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ED7D31" w:sz="8" w:space="0"/>
            <w:left w:val="none" w:color="auto" w:sz="0" w:space="0"/>
            <w:bottom w:val="single" w:color="ED7D3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ED7D31" w:sz="18" w:space="0"/>
              <w:right w:val="nil"/>
            </w:tcBorders>
            <w:vAlign w:val="center"/>
          </w:tcPr>
          <w:p>
            <w:pPr>
              <w:snapToGrid w:val="0"/>
              <w:spacing w:before="0" w:beforeLines="0" w:after="0" w:afterLines="0" w:line="360" w:lineRule="auto"/>
              <w:jc w:val="center"/>
              <w:rPr>
                <w:rFonts w:hint="eastAsia" w:ascii="方正大标宋_GBK" w:eastAsia="方正大标宋_GBK"/>
                <w:b/>
                <w:bCs/>
                <w:color w:val="2E5394"/>
              </w:rPr>
            </w:pPr>
            <w:r>
              <w:rPr>
                <w:rFonts w:hint="eastAsia" w:ascii="方正大标宋_GBK" w:eastAsia="方正大标宋_GBK"/>
                <w:b/>
                <w:bCs/>
                <w:color w:val="C25811"/>
                <w:sz w:val="44"/>
                <w:szCs w:val="44"/>
                <w:lang w:eastAsia="zh-CN"/>
              </w:rPr>
              <w:t>“尊享会”特色服务</w:t>
            </w:r>
          </w:p>
        </w:tc>
      </w:tr>
      <w:tr>
        <w:tblPrEx>
          <w:tblBorders>
            <w:top w:val="single" w:color="ED7D31" w:sz="8" w:space="0"/>
            <w:left w:val="none" w:color="auto" w:sz="0" w:space="0"/>
            <w:bottom w:val="single" w:color="ED7D3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ED7D31" w:sz="18" w:space="0"/>
              <w:left w:val="nil"/>
              <w:bottom w:val="nil"/>
              <w:right w:val="nil"/>
            </w:tcBorders>
            <w:shd w:val="clear" w:color="auto" w:fill="FADECC"/>
            <w:tcMar>
              <w:top w:w="113" w:type="dxa"/>
              <w:bottom w:w="113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snapToGrid w:val="0"/>
              <w:spacing w:line="264" w:lineRule="auto"/>
              <w:ind w:left="357" w:hanging="357"/>
              <w:rPr>
                <w:rFonts w:ascii="华文中宋" w:hAnsi="华文中宋" w:eastAsia="华文中宋"/>
                <w:b w:val="0"/>
                <w:bCs w:val="0"/>
                <w:color w:val="943634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b w:val="0"/>
                <w:bCs/>
                <w:color w:val="943634"/>
                <w:kern w:val="2"/>
                <w:sz w:val="24"/>
                <w:szCs w:val="24"/>
                <w:lang w:val="en-US" w:eastAsia="zh-CN" w:bidi="ar-SA"/>
              </w:rPr>
              <w:t>爱家观影。客户可通过中信信e通平台完成电影权益兑付和选座，至签约影院免费观影。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snapToGrid w:val="0"/>
              <w:spacing w:line="264" w:lineRule="auto"/>
              <w:ind w:left="357" w:hanging="357"/>
              <w:rPr>
                <w:rFonts w:ascii="华文中宋" w:hAnsi="华文中宋" w:eastAsia="华文中宋"/>
                <w:b w:val="0"/>
                <w:bCs w:val="0"/>
                <w:color w:val="94363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  <w:lang w:eastAsia="zh-CN"/>
              </w:rPr>
              <w:t>免费洗车</w:t>
            </w: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</w:rPr>
              <w:t>。</w:t>
            </w: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  <w:lang w:eastAsia="zh-CN"/>
              </w:rPr>
              <w:t>客户可至签约洗车网点享受免费洗车服务，通过中信信</w:t>
            </w: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  <w:lang w:val="en-US" w:eastAsia="zh-CN"/>
              </w:rPr>
              <w:t>e通平台完成洗车权益的兑付。</w:t>
            </w:r>
          </w:p>
        </w:tc>
      </w:tr>
      <w:tr>
        <w:tblPrEx>
          <w:tblBorders>
            <w:top w:val="single" w:color="ED7D31" w:sz="8" w:space="0"/>
            <w:left w:val="none" w:color="auto" w:sz="0" w:space="0"/>
            <w:bottom w:val="single" w:color="ED7D3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shd w:val="clear" w:color="auto" w:fill="FADECC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2"/>
              </w:numPr>
              <w:snapToGrid w:val="0"/>
              <w:spacing w:line="264" w:lineRule="auto"/>
              <w:ind w:left="357" w:hanging="357" w:firstLineChars="0"/>
              <w:rPr>
                <w:rFonts w:ascii="华文中宋" w:hAnsi="华文中宋" w:eastAsia="华文中宋"/>
                <w:b w:val="0"/>
                <w:bCs w:val="0"/>
                <w:color w:val="943634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b w:val="0"/>
                <w:bCs/>
                <w:color w:val="943634"/>
                <w:kern w:val="2"/>
                <w:sz w:val="24"/>
                <w:szCs w:val="24"/>
                <w:lang w:val="en-US" w:eastAsia="zh-CN" w:bidi="ar-SA"/>
              </w:rPr>
              <w:t>看剧VIP。客户可通过中信信e通平台兑换热门看剧网站VIP月卡一张（爱奇艺等），可至对应网站激活后点播看剧。</w:t>
            </w:r>
          </w:p>
        </w:tc>
      </w:tr>
      <w:tr>
        <w:tblPrEx>
          <w:tblBorders>
            <w:top w:val="single" w:color="ED7D31" w:sz="8" w:space="0"/>
            <w:left w:val="none" w:color="auto" w:sz="0" w:space="0"/>
            <w:bottom w:val="single" w:color="ED7D3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2"/>
              </w:numPr>
              <w:snapToGrid w:val="0"/>
              <w:spacing w:line="264" w:lineRule="auto"/>
              <w:ind w:left="357" w:hanging="357" w:firstLineChars="0"/>
              <w:rPr>
                <w:rFonts w:ascii="华文中宋" w:hAnsi="华文中宋" w:eastAsia="华文中宋"/>
                <w:b w:val="0"/>
                <w:bCs w:val="0"/>
                <w:color w:val="943634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b w:val="0"/>
                <w:bCs/>
                <w:color w:val="943634"/>
                <w:kern w:val="2"/>
                <w:sz w:val="24"/>
                <w:szCs w:val="24"/>
                <w:lang w:val="en-US" w:eastAsia="zh-CN" w:bidi="ar-SA"/>
              </w:rPr>
              <w:t>书籍增阅。针对白金及以上客户，按月享受杭州萧山国际机场任意一家中信书店一定次数（每日限一次、每次一本，且价格不超过100元）书籍/杂志免费领取权益，并通过中信信e通平台完成领书权益兑付。</w:t>
            </w:r>
          </w:p>
        </w:tc>
      </w:tr>
      <w:tr>
        <w:tblPrEx>
          <w:tblBorders>
            <w:top w:val="single" w:color="ED7D31" w:sz="8" w:space="0"/>
            <w:left w:val="none" w:color="auto" w:sz="0" w:space="0"/>
            <w:bottom w:val="single" w:color="ED7D3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shd w:val="clear" w:color="auto" w:fill="FADECC"/>
            <w:tcMar>
              <w:top w:w="113" w:type="dxa"/>
              <w:bottom w:w="113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snapToGrid w:val="0"/>
              <w:spacing w:line="264" w:lineRule="auto"/>
              <w:ind w:left="357" w:hanging="357"/>
              <w:rPr>
                <w:rFonts w:ascii="华文中宋" w:hAnsi="华文中宋" w:eastAsia="华文中宋"/>
                <w:b w:val="0"/>
                <w:bCs w:val="0"/>
                <w:color w:val="94363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  <w:lang w:eastAsia="zh-CN"/>
              </w:rPr>
              <w:t>贵宾登机</w:t>
            </w: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</w:rPr>
              <w:t>。</w:t>
            </w: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  <w:lang w:eastAsia="zh-CN"/>
              </w:rPr>
              <w:t>针对白金级以上客户，按月享受杭州萧山国际机场一定次数的贵宾登机服务，并通过我行布设的权益</w:t>
            </w: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  <w:lang w:val="en-US" w:eastAsia="zh-CN"/>
              </w:rPr>
              <w:t>POS机具校验客户身份，需客户本人使用。</w:t>
            </w:r>
          </w:p>
        </w:tc>
      </w:tr>
      <w:tr>
        <w:tblPrEx>
          <w:tblBorders>
            <w:top w:val="single" w:color="ED7D31" w:sz="8" w:space="0"/>
            <w:left w:val="none" w:color="auto" w:sz="0" w:space="0"/>
            <w:bottom w:val="single" w:color="ED7D3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snapToGrid w:val="0"/>
              <w:spacing w:line="264" w:lineRule="auto"/>
              <w:ind w:left="357" w:hanging="357"/>
              <w:rPr>
                <w:rFonts w:hint="eastAsia" w:ascii="华文中宋" w:hAnsi="华文中宋" w:eastAsia="华文中宋"/>
                <w:b w:val="0"/>
                <w:bCs w:val="0"/>
                <w:color w:val="94363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  <w:lang w:eastAsia="zh-CN"/>
              </w:rPr>
              <w:t>生日惊喜。白金级以上的所有客户，在生日当月可通过中信信</w:t>
            </w: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  <w:lang w:val="en-US" w:eastAsia="zh-CN"/>
              </w:rPr>
              <w:t>e通平台获得一个价值18-1888元之间金额随机的红包。</w:t>
            </w:r>
          </w:p>
        </w:tc>
      </w:tr>
      <w:tr>
        <w:tblPrEx>
          <w:tblBorders>
            <w:top w:val="single" w:color="ED7D31" w:sz="8" w:space="0"/>
            <w:left w:val="none" w:color="auto" w:sz="0" w:space="0"/>
            <w:bottom w:val="single" w:color="ED7D3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bottom w:val="single" w:color="ED7D31" w:sz="18" w:space="0"/>
            </w:tcBorders>
            <w:shd w:val="clear" w:color="auto" w:fill="EFD3D2"/>
            <w:tcMar>
              <w:top w:w="113" w:type="dxa"/>
              <w:bottom w:w="113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snapToGrid w:val="0"/>
              <w:spacing w:line="264" w:lineRule="auto"/>
              <w:ind w:left="357" w:hanging="357"/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943634"/>
                <w:sz w:val="24"/>
                <w:szCs w:val="24"/>
                <w:lang w:val="en-US" w:eastAsia="zh-CN"/>
              </w:rPr>
              <w:t>上述服务针对我行白金级及以上客户，资产要求为上月管理资产月日均50万元及以上。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3"/>
        <w:tblW w:w="8522" w:type="dxa"/>
        <w:tblInd w:w="0" w:type="dxa"/>
        <w:tblBorders>
          <w:top w:val="single" w:color="4472C4" w:sz="8" w:space="0"/>
          <w:left w:val="none" w:color="auto" w:sz="0" w:space="0"/>
          <w:bottom w:val="single" w:color="4472C4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4472C4" w:sz="18" w:space="0"/>
              <w:right w:val="nil"/>
            </w:tcBorders>
            <w:vAlign w:val="top"/>
          </w:tcPr>
          <w:p>
            <w:pPr>
              <w:snapToGrid w:val="0"/>
              <w:spacing w:before="0" w:beforeLines="0" w:after="0" w:afterLines="0" w:line="360" w:lineRule="auto"/>
              <w:jc w:val="center"/>
              <w:rPr>
                <w:rFonts w:hint="eastAsia" w:ascii="方正大标宋_GBK" w:eastAsia="方正大标宋_GBK"/>
                <w:b w:val="0"/>
                <w:bCs w:val="0"/>
                <w:color w:val="2E5394"/>
                <w:sz w:val="44"/>
                <w:szCs w:val="44"/>
                <w:lang w:eastAsia="zh-CN"/>
              </w:rPr>
            </w:pPr>
            <w:r>
              <w:rPr>
                <w:rFonts w:hint="eastAsia" w:ascii="方正大标宋_GBK" w:eastAsia="方正大标宋_GBK"/>
                <w:b/>
                <w:bCs/>
                <w:color w:val="2E5394"/>
                <w:sz w:val="44"/>
                <w:szCs w:val="44"/>
                <w:lang w:eastAsia="zh-CN"/>
              </w:rPr>
              <w:t>个人日常金融服务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4472C4" w:sz="18" w:space="0"/>
              <w:left w:val="nil"/>
              <w:bottom w:val="nil"/>
              <w:right w:val="nil"/>
            </w:tcBorders>
            <w:shd w:val="clear" w:color="auto" w:fill="D0DCF0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3"/>
              </w:numPr>
              <w:snapToGrid w:val="0"/>
              <w:spacing w:line="264" w:lineRule="auto"/>
              <w:ind w:left="357" w:hanging="357" w:firstLineChars="0"/>
              <w:rPr>
                <w:rFonts w:ascii="华文中宋" w:hAnsi="华文中宋" w:eastAsia="华文中宋"/>
                <w:b w:val="0"/>
                <w:bCs w:val="0"/>
                <w:color w:val="2E539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val="en-US" w:eastAsia="zh-CN"/>
              </w:rPr>
              <w:t>全方位优惠措施。免收卡片及账户的年费和账户管理费、柜台（本行）交易渠道免费、个人网银手续费全免、移动银行转账手续费全免、个人账户短信通知免费、办理个人网银和移动银行免费、代发工资业务免费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3"/>
              </w:numPr>
              <w:snapToGrid w:val="0"/>
              <w:spacing w:line="264" w:lineRule="auto"/>
              <w:ind w:left="357" w:hanging="357" w:firstLineChars="0"/>
              <w:rPr>
                <w:rFonts w:ascii="华文中宋" w:hAnsi="华文中宋" w:eastAsia="华文中宋"/>
                <w:b w:val="0"/>
                <w:bCs w:val="0"/>
                <w:color w:val="2E539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eastAsia="zh-CN"/>
              </w:rPr>
              <w:t>出国金融服务</w:t>
            </w: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</w:rPr>
              <w:t>。</w:t>
            </w: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eastAsia="zh-CN"/>
              </w:rPr>
              <w:t>我行出国金融产品齐全</w:t>
            </w: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val="en-US" w:eastAsia="zh-CN"/>
              </w:rPr>
              <w:t>(含开立存款证明、外币兑换、境外汇款、结售汇、境外支付等多项外汇服务）；并办理美领事馆签证费缴纳、再次赴美签证代传递等业务。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522" w:type="dxa"/>
            <w:tcBorders>
              <w:left w:val="nil"/>
              <w:right w:val="nil"/>
            </w:tcBorders>
            <w:shd w:val="clear" w:color="auto" w:fill="D0DCF0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3"/>
              </w:numPr>
              <w:snapToGrid w:val="0"/>
              <w:spacing w:line="264" w:lineRule="auto"/>
              <w:ind w:left="357" w:hanging="357" w:firstLineChars="0"/>
              <w:rPr>
                <w:rFonts w:ascii="华文中宋" w:hAnsi="华文中宋" w:eastAsia="华文中宋"/>
                <w:b w:val="0"/>
                <w:bCs w:val="0"/>
                <w:color w:val="2E539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</w:rPr>
              <w:t>薪金煲</w:t>
            </w: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</w:rPr>
              <w:t>。</w:t>
            </w: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eastAsia="zh-CN"/>
              </w:rPr>
              <w:t>我行</w:t>
            </w: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</w:rPr>
              <w:t>为借记卡客户提供的现金管理工具，客户签约“薪金煲”与可选择的货币基金进行关联，实现活期资金自动购买货币基金。卡内资金实现货基收益的同时，</w:t>
            </w: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eastAsia="zh-CN"/>
              </w:rPr>
              <w:t>一定额度内</w:t>
            </w: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</w:rPr>
              <w:t>实现实时赎回、直接消费或者取现，收益每日转接。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3"/>
              </w:numPr>
              <w:snapToGrid w:val="0"/>
              <w:spacing w:line="264" w:lineRule="auto"/>
              <w:ind w:left="357" w:hanging="357" w:firstLineChars="0"/>
              <w:rPr>
                <w:rFonts w:ascii="华文中宋" w:hAnsi="华文中宋" w:eastAsia="华文中宋"/>
                <w:b w:val="0"/>
                <w:bCs w:val="0"/>
                <w:color w:val="2E539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val="en-US" w:eastAsia="zh-CN"/>
              </w:rPr>
              <w:t>高速ETC。我行为客户免费提供高速公路不停车业务（ETC）签约服务。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22" w:type="dxa"/>
            <w:tcBorders>
              <w:left w:val="nil"/>
              <w:right w:val="nil"/>
            </w:tcBorders>
            <w:shd w:val="clear" w:color="auto" w:fill="D0DCF0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3"/>
              </w:numPr>
              <w:snapToGrid w:val="0"/>
              <w:spacing w:line="264" w:lineRule="auto"/>
              <w:ind w:left="357" w:hanging="357" w:firstLineChars="0"/>
              <w:rPr>
                <w:rFonts w:ascii="华文中宋" w:hAnsi="华文中宋" w:eastAsia="华文中宋"/>
                <w:b w:val="0"/>
                <w:bCs w:val="0"/>
                <w:color w:val="2E539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</w:rPr>
              <w:t>全方位、各层次理财服务。短期“保本”理财产品，实现T+0的同时坐享稳健收益。中长期理财产品，期限灵活，收益稳健。定制化理财产品，可满足会员单位大额资金个性化的理财需求。</w:t>
            </w:r>
            <w:r>
              <w:rPr>
                <w:rFonts w:ascii="华文中宋" w:hAnsi="华文中宋" w:eastAsia="华文中宋"/>
                <w:b w:val="0"/>
                <w:bCs/>
                <w:color w:val="2E5394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3"/>
              </w:numPr>
              <w:snapToGrid w:val="0"/>
              <w:spacing w:line="264" w:lineRule="auto"/>
              <w:ind w:left="357" w:hanging="357" w:firstLineChars="0"/>
              <w:rPr>
                <w:rFonts w:ascii="华文中宋" w:hAnsi="华文中宋" w:eastAsia="华文中宋"/>
                <w:b w:val="0"/>
                <w:bCs w:val="0"/>
                <w:color w:val="2E539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val="en-US" w:eastAsia="zh-CN"/>
              </w:rPr>
              <w:t>电子银行服务。代发企业可轻松通过中信银行公司网银行实现员工工资的批量代发，借助“公资条联动功能”，企业员工可通过个人网银、微信公众号“中信信e通”随时随地查看工资明细清单。通过中信个人网银和移动银行，可足不出户，轻松、便捷地享受个人账户管理、交易结算、投资理财等个类非现金金融服务。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522" w:type="dxa"/>
            <w:tcBorders>
              <w:left w:val="nil"/>
              <w:bottom w:val="single" w:color="4BACC6" w:sz="18" w:space="0"/>
              <w:right w:val="nil"/>
            </w:tcBorders>
            <w:shd w:val="clear" w:color="auto" w:fill="D0DCF0"/>
            <w:tcMar>
              <w:top w:w="113" w:type="dxa"/>
              <w:bottom w:w="113" w:type="dxa"/>
            </w:tcMar>
            <w:vAlign w:val="center"/>
          </w:tcPr>
          <w:p>
            <w:pPr>
              <w:pStyle w:val="4"/>
              <w:numPr>
                <w:ilvl w:val="0"/>
                <w:numId w:val="3"/>
              </w:numPr>
              <w:snapToGrid w:val="0"/>
              <w:spacing w:line="264" w:lineRule="auto"/>
              <w:ind w:left="357" w:hanging="357" w:firstLineChars="0"/>
              <w:rPr>
                <w:rFonts w:hint="eastAsia" w:ascii="华文中宋" w:hAnsi="华文中宋" w:eastAsia="华文中宋"/>
                <w:b w:val="0"/>
                <w:bCs w:val="0"/>
                <w:color w:val="2E5394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color w:val="2E5394"/>
                <w:sz w:val="24"/>
                <w:szCs w:val="24"/>
                <w:lang w:val="en-US" w:eastAsia="zh-CN"/>
              </w:rPr>
              <w:t>公用事业费代扣代缴付服务。我行为客户开通各类公用事业费自动扣缴服务，包括电信固定电话费、水费、电费、管道煤气费、华数数字电视和网通宽带费。客户只要办理代扣手续，每月即可通过中信银行卡实现各类费用的自动扣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9BC"/>
    <w:multiLevelType w:val="multilevel"/>
    <w:tmpl w:val="046429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A00C2"/>
    <w:multiLevelType w:val="multilevel"/>
    <w:tmpl w:val="05AA00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07396E"/>
    <w:multiLevelType w:val="multilevel"/>
    <w:tmpl w:val="6F07396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26765"/>
    <w:rsid w:val="48A267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customStyle="1" w:styleId="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2018-09-17T07:56:00Z</dcterms:created>
  <dc:creator>？</dc:creator>
  <cp:lastModifiedBy>？</cp:lastModifiedBy>
  <dcterms:modified xsi:type="dcterms:W3CDTF">2018-09-17T07:58:26Z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